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D2" w:rsidRPr="00FC30D2" w:rsidRDefault="00FC30D2" w:rsidP="00FC3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D2">
        <w:rPr>
          <w:rFonts w:ascii="Times New Roman" w:hAnsi="Times New Roman" w:cs="Times New Roman"/>
          <w:b/>
          <w:sz w:val="28"/>
          <w:szCs w:val="28"/>
        </w:rPr>
        <w:t>Л.1. Теоретико-методологические основы конкуренции</w:t>
      </w:r>
    </w:p>
    <w:p w:rsidR="00FC30D2" w:rsidRPr="00FC30D2" w:rsidRDefault="00FC30D2" w:rsidP="00FC30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30D2" w:rsidRPr="00FC30D2" w:rsidRDefault="00FC30D2" w:rsidP="00FC30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             Понятие конкуренции и ее роль в развитии экономики</w:t>
      </w:r>
    </w:p>
    <w:p w:rsidR="00FC30D2" w:rsidRPr="00FC30D2" w:rsidRDefault="00FC30D2" w:rsidP="00FC30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            Сущность, природа и движущие силы конкуренции.</w:t>
      </w:r>
    </w:p>
    <w:p w:rsidR="00FC30D2" w:rsidRPr="00FC30D2" w:rsidRDefault="00FC30D2" w:rsidP="008478C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30D2" w:rsidRPr="00FC30D2" w:rsidRDefault="00FC30D2" w:rsidP="00FC30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1. Понятие конкуренции и ее роль в развитии экономики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cs="CharterITC" w:hint="eastAsia"/>
          <w:sz w:val="20"/>
          <w:szCs w:val="20"/>
        </w:rPr>
        <w:t>Конкуренция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является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неотъемлемым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элементом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рыночной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экономики</w:t>
      </w:r>
      <w:r>
        <w:rPr>
          <w:rFonts w:ascii="CharterITC" w:eastAsia="CharterITC" w:cs="CharterITC"/>
          <w:sz w:val="20"/>
          <w:szCs w:val="20"/>
        </w:rPr>
        <w:t xml:space="preserve">, </w:t>
      </w:r>
      <w:r>
        <w:rPr>
          <w:rFonts w:ascii="CharterITC" w:eastAsia="CharterITC" w:cs="CharterITC" w:hint="eastAsia"/>
          <w:sz w:val="20"/>
          <w:szCs w:val="20"/>
        </w:rPr>
        <w:t>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соответствии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которым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рынке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обеспечиваются</w:t>
      </w:r>
      <w:r>
        <w:rPr>
          <w:rFonts w:ascii="CharterITC" w:eastAsia="CharterITC" w:cs="CharterITC"/>
          <w:sz w:val="20"/>
          <w:szCs w:val="20"/>
        </w:rPr>
        <w:t>: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согласование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производства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продукции</w:t>
      </w:r>
      <w:r>
        <w:rPr>
          <w:rFonts w:ascii="CharterITC" w:eastAsia="CharterITC" w:cs="CharterITC"/>
          <w:sz w:val="20"/>
          <w:szCs w:val="20"/>
        </w:rPr>
        <w:t xml:space="preserve"> (</w:t>
      </w:r>
      <w:r>
        <w:rPr>
          <w:rFonts w:ascii="CharterITC" w:eastAsia="CharterITC" w:cs="CharterITC" w:hint="eastAsia"/>
          <w:sz w:val="20"/>
          <w:szCs w:val="20"/>
        </w:rPr>
        <w:t>услуг</w:t>
      </w:r>
      <w:r>
        <w:rPr>
          <w:rFonts w:ascii="CharterITC" w:eastAsia="CharterITC" w:cs="CharterITC"/>
          <w:sz w:val="20"/>
          <w:szCs w:val="20"/>
        </w:rPr>
        <w:t xml:space="preserve">) </w:t>
      </w:r>
      <w:r>
        <w:rPr>
          <w:rFonts w:ascii="CharterITC" w:eastAsia="CharterITC" w:cs="CharterITC" w:hint="eastAsia"/>
          <w:sz w:val="20"/>
          <w:szCs w:val="20"/>
        </w:rPr>
        <w:t>производителей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потребностями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потенциальных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покупателей</w:t>
      </w:r>
      <w:r>
        <w:rPr>
          <w:rFonts w:ascii="CharterITC" w:eastAsia="CharterITC" w:cs="CharterITC"/>
          <w:sz w:val="20"/>
          <w:szCs w:val="20"/>
        </w:rPr>
        <w:t>;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эффективное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расходование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различных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видов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ресурсов</w:t>
      </w:r>
      <w:r>
        <w:rPr>
          <w:rFonts w:ascii="CharterITC" w:eastAsia="CharterITC" w:cs="CharterITC"/>
          <w:sz w:val="20"/>
          <w:szCs w:val="20"/>
        </w:rPr>
        <w:t>,</w:t>
      </w:r>
      <w:r>
        <w:rPr>
          <w:rFonts w:ascii="CharterITC" w:eastAsia="CharterITC" w:cs="CharterITC" w:hint="eastAsia"/>
          <w:sz w:val="20"/>
          <w:szCs w:val="20"/>
        </w:rPr>
        <w:t>используемых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производстве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реализации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продукции</w:t>
      </w:r>
      <w:r>
        <w:rPr>
          <w:rFonts w:ascii="CharterITC" w:eastAsia="CharterITC" w:cs="CharterITC"/>
          <w:sz w:val="20"/>
          <w:szCs w:val="20"/>
        </w:rPr>
        <w:t xml:space="preserve"> (</w:t>
      </w:r>
      <w:r>
        <w:rPr>
          <w:rFonts w:ascii="CharterITC" w:eastAsia="CharterITC" w:cs="CharterITC" w:hint="eastAsia"/>
          <w:sz w:val="20"/>
          <w:szCs w:val="20"/>
        </w:rPr>
        <w:t>оказании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услуг</w:t>
      </w:r>
      <w:r>
        <w:rPr>
          <w:rFonts w:ascii="CharterITC" w:eastAsia="CharterITC" w:cs="CharterITC"/>
          <w:sz w:val="20"/>
          <w:szCs w:val="20"/>
        </w:rPr>
        <w:t>);</w:t>
      </w:r>
    </w:p>
    <w:p w:rsidR="00FC30D2" w:rsidRP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распределение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доходов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между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товаропроизводителямив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соответствии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достигнутыми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конечными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экономическими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финансовыми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результатами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предпринимательской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деятельности</w:t>
      </w:r>
      <w:r>
        <w:rPr>
          <w:rFonts w:ascii="CharterITC" w:eastAsia="CharterITC" w:cs="CharterITC"/>
          <w:sz w:val="20"/>
          <w:szCs w:val="20"/>
        </w:rPr>
        <w:t>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мере становления и развития экономической мысли в содержании понятия «конкуренция» отражались различные аспекты.  Выделяют несколько теоретических подходов к пониманию экономического содержания понятия «конкуренция».</w:t>
      </w:r>
    </w:p>
    <w:p w:rsidR="00FC30D2" w:rsidRPr="00FC30D2" w:rsidRDefault="00FC30D2" w:rsidP="00FC30D2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87CEF">
        <w:rPr>
          <w:rFonts w:ascii="Times New Roman" w:hAnsi="Times New Roman" w:cs="Times New Roman"/>
          <w:color w:val="FF0000"/>
          <w:spacing w:val="-5"/>
          <w:sz w:val="28"/>
          <w:szCs w:val="28"/>
        </w:rPr>
        <w:t>Изна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чально слово «конкуренция»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вошло</w:t>
      </w:r>
      <w:r w:rsidRPr="00FC30D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экономическую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теорию</w:t>
      </w:r>
      <w:r w:rsidRPr="00FC30D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из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бытового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языка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в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течение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длительного времени обозначало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только независимое соперничество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двух или более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>лиц</w:t>
      </w:r>
      <w:hyperlink w:anchor="_bookmark3" w:history="1">
        <w:r w:rsidRPr="00D87CEF">
          <w:rPr>
            <w:rFonts w:ascii="Times New Roman" w:hAnsi="Times New Roman" w:cs="Times New Roman"/>
            <w:sz w:val="28"/>
            <w:szCs w:val="28"/>
            <w:highlight w:val="yellow"/>
            <w:vertAlign w:val="superscript"/>
          </w:rPr>
          <w:t>1</w:t>
        </w:r>
      </w:hyperlink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Именно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поведенческий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подход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к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трактовке категории конкуренции изначально установился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экономической литературе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. Конкуренция рассматривалась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как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внутреннее свойство человека, присущее </w:t>
      </w:r>
      <w:r w:rsidRPr="00FC30D2">
        <w:rPr>
          <w:rFonts w:ascii="Times New Roman" w:hAnsi="Times New Roman" w:cs="Times New Roman"/>
          <w:sz w:val="28"/>
          <w:szCs w:val="28"/>
        </w:rPr>
        <w:t xml:space="preserve">ему по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>натуре.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426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Впервые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Смит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«Исследование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богатствах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народов»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попытался внести ясность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конкуренции.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писал 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том,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что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«конкуренция сейчас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же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начнется среди покупателей, если произойдет сокращение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предложения,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повлечет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собой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повышение цен»,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когда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предложение слишком велико, цена будет падать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 ниже, чем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больше конкуренция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продавцами, «или, смотря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тому, насколько окажется </w:t>
      </w:r>
      <w:r w:rsidRPr="00FC30D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них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быстрее сбыть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этот товар»</w:t>
      </w:r>
      <w:hyperlink w:anchor="_bookmark4" w:history="1">
        <w:r w:rsidRPr="00FC30D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2</w:t>
        </w:r>
      </w:hyperlink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А. Смит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отождествлял конкуренцию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«честным соперничеством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продавцами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более выгодные условия продажи своих товаров»,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«неви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димой рукой»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–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рыночными ценами, формирующимися </w:t>
      </w:r>
      <w:r w:rsidRPr="00FC30D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под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влиянием конкурентных сил. Сущность конкуренции,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мнению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Смита, представляет собой совокупность взаимосвязанных попыток продавцов установить контроль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рынке 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долгосрочной перспективе. Следовательно, конкуренция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процесс реакции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новую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силу и способ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достижения нового равновесия, сущностью которого является борьба конкурентов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относительные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преимущества</w:t>
      </w:r>
      <w:hyperlink w:anchor="_bookmark5" w:history="1">
        <w:r w:rsidRPr="00FC30D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3</w:t>
        </w:r>
      </w:hyperlink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C30D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При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этом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основным методом конкурентной борьбы служит изменение</w:t>
      </w:r>
      <w:r w:rsidRPr="00FC30D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цен. 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А.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Смит выделяет определенный набор условий свободной конкуренции</w:t>
      </w:r>
      <w:hyperlink w:anchor="_bookmark6" w:history="1">
        <w:r w:rsidRPr="00FC30D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 w:bidi="ru-RU"/>
          </w:rPr>
          <w:t>1</w:t>
        </w:r>
      </w:hyperlink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C30D2" w:rsidRPr="00FC30D2" w:rsidRDefault="00FC30D2" w:rsidP="00FC30D2">
      <w:pPr>
        <w:widowControl w:val="0"/>
        <w:numPr>
          <w:ilvl w:val="2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0"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конкуренты должны действовать независимо, а не в</w:t>
      </w:r>
      <w:r w:rsidRPr="00FC30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сговоре;</w:t>
      </w:r>
    </w:p>
    <w:p w:rsidR="00FC30D2" w:rsidRPr="00FC30D2" w:rsidRDefault="00FC30D2" w:rsidP="00FC30D2">
      <w:pPr>
        <w:widowControl w:val="0"/>
        <w:numPr>
          <w:ilvl w:val="2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0"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lastRenderedPageBreak/>
        <w:t>число конкурентов, потенциальных или уже имеющихся, должно быть достаточным, чтобы исключить экстраординарные</w:t>
      </w:r>
      <w:r w:rsidRPr="00FC30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доходы;</w:t>
      </w:r>
    </w:p>
    <w:p w:rsidR="00FC30D2" w:rsidRPr="00FC30D2" w:rsidRDefault="00FC30D2" w:rsidP="00FC30D2">
      <w:pPr>
        <w:widowControl w:val="0"/>
        <w:numPr>
          <w:ilvl w:val="2"/>
          <w:numId w:val="1"/>
        </w:numPr>
        <w:tabs>
          <w:tab w:val="left" w:pos="1240"/>
          <w:tab w:val="left" w:pos="3309"/>
          <w:tab w:val="left" w:pos="4622"/>
          <w:tab w:val="left" w:pos="5833"/>
          <w:tab w:val="left" w:pos="7158"/>
          <w:tab w:val="left" w:pos="8965"/>
        </w:tabs>
        <w:autoSpaceDE w:val="0"/>
        <w:autoSpaceDN w:val="0"/>
        <w:spacing w:after="0" w:line="240" w:lineRule="auto"/>
        <w:ind w:left="0"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>экономические</w:t>
      </w:r>
      <w:r w:rsidRPr="00FC30D2">
        <w:rPr>
          <w:rFonts w:ascii="Times New Roman" w:hAnsi="Times New Roman" w:cs="Times New Roman"/>
          <w:sz w:val="28"/>
          <w:szCs w:val="28"/>
        </w:rPr>
        <w:tab/>
        <w:t>единицы</w:t>
      </w:r>
      <w:r w:rsidRPr="00FC30D2">
        <w:rPr>
          <w:rFonts w:ascii="Times New Roman" w:hAnsi="Times New Roman" w:cs="Times New Roman"/>
          <w:sz w:val="28"/>
          <w:szCs w:val="28"/>
        </w:rPr>
        <w:tab/>
        <w:t>должны</w:t>
      </w:r>
      <w:r w:rsidRPr="00FC30D2">
        <w:rPr>
          <w:rFonts w:ascii="Times New Roman" w:hAnsi="Times New Roman" w:cs="Times New Roman"/>
          <w:sz w:val="28"/>
          <w:szCs w:val="28"/>
        </w:rPr>
        <w:tab/>
        <w:t>обладать</w:t>
      </w:r>
      <w:r w:rsidRPr="00FC30D2">
        <w:rPr>
          <w:rFonts w:ascii="Times New Roman" w:hAnsi="Times New Roman" w:cs="Times New Roman"/>
          <w:sz w:val="28"/>
          <w:szCs w:val="28"/>
        </w:rPr>
        <w:tab/>
        <w:t>приемлемым</w:t>
      </w:r>
      <w:r w:rsidRPr="00FC30D2">
        <w:rPr>
          <w:rFonts w:ascii="Times New Roman" w:hAnsi="Times New Roman" w:cs="Times New Roman"/>
          <w:sz w:val="28"/>
          <w:szCs w:val="28"/>
        </w:rPr>
        <w:tab/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знанием </w:t>
      </w:r>
      <w:r w:rsidRPr="00FC30D2">
        <w:rPr>
          <w:rFonts w:ascii="Times New Roman" w:hAnsi="Times New Roman" w:cs="Times New Roman"/>
          <w:sz w:val="28"/>
          <w:szCs w:val="28"/>
        </w:rPr>
        <w:t>о рыночных</w:t>
      </w:r>
      <w:r w:rsidRPr="00FC30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>возможностях;</w:t>
      </w:r>
    </w:p>
    <w:p w:rsidR="00FC30D2" w:rsidRPr="00FC30D2" w:rsidRDefault="00FC30D2" w:rsidP="00FC30D2">
      <w:pPr>
        <w:widowControl w:val="0"/>
        <w:numPr>
          <w:ilvl w:val="2"/>
          <w:numId w:val="1"/>
        </w:numPr>
        <w:tabs>
          <w:tab w:val="left" w:pos="1230"/>
        </w:tabs>
        <w:autoSpaceDE w:val="0"/>
        <w:autoSpaceDN w:val="0"/>
        <w:spacing w:after="0" w:line="240" w:lineRule="auto"/>
        <w:ind w:left="0"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должна быть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обеспечена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свобода действий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соответствии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этим</w:t>
      </w:r>
      <w:r w:rsidRPr="00FC30D2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>знанием;</w:t>
      </w:r>
    </w:p>
    <w:p w:rsidR="00FC30D2" w:rsidRPr="00FC30D2" w:rsidRDefault="00FC30D2" w:rsidP="00FC30D2">
      <w:pPr>
        <w:widowControl w:val="0"/>
        <w:numPr>
          <w:ilvl w:val="2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0"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необходим достаточный запас времени, чтобы направление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объем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потока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>ресурсов стали отвечать желанию хозяйствующих</w:t>
      </w:r>
      <w:r w:rsidRPr="00FC30D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субъектов.</w:t>
      </w:r>
    </w:p>
    <w:p w:rsidR="00FC30D2" w:rsidRPr="00FC30D2" w:rsidRDefault="00FC30D2" w:rsidP="00FC30D2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87CEF">
        <w:rPr>
          <w:rFonts w:ascii="Times New Roman" w:hAnsi="Times New Roman" w:cs="Times New Roman"/>
          <w:color w:val="FF0000"/>
          <w:spacing w:val="-5"/>
          <w:sz w:val="28"/>
          <w:szCs w:val="28"/>
        </w:rPr>
        <w:t>Не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оклассический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вариант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поведенческого толкования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конкуренции, одним</w:t>
      </w:r>
      <w:r w:rsidRPr="00FC30D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из 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родоначальников 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которого </w:t>
      </w:r>
      <w:r w:rsidRPr="00FC30D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справедливо  считается  английский   экономист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А.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Маршалл, связывает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ее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борьбой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за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редкие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экономические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блага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и,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разумеется,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за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деньги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потребителя,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на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которые их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можно приобрести.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Логика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этого подхода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состоит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том, что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большинство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благ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(товаров, 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услуг,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ресурсов)  является 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редким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том смысле, что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их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количество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меньше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потенциальной потребности общества. Поэтому владельцы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благ имеют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возможность распределять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их,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>своей выгодой.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 Теория конкуренции </w:t>
      </w:r>
      <w:r w:rsidRPr="00FC30D2">
        <w:rPr>
          <w:rFonts w:ascii="Times New Roman" w:hAnsi="Times New Roman" w:cs="Times New Roman"/>
          <w:sz w:val="28"/>
          <w:szCs w:val="28"/>
        </w:rPr>
        <w:t xml:space="preserve">А.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Маршалла находилась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в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основе экономического образования вплоть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до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40-х </w:t>
      </w:r>
      <w:r w:rsidRPr="00FC30D2">
        <w:rPr>
          <w:rFonts w:ascii="Times New Roman" w:hAnsi="Times New Roman" w:cs="Times New Roman"/>
          <w:sz w:val="28"/>
          <w:szCs w:val="28"/>
        </w:rPr>
        <w:t xml:space="preserve">гг. XX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столетия. Маршалл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писал о том,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что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допускает, </w:t>
      </w:r>
      <w:r w:rsidRPr="00FC30D2">
        <w:rPr>
          <w:rFonts w:ascii="Times New Roman" w:hAnsi="Times New Roman" w:cs="Times New Roman"/>
          <w:sz w:val="28"/>
          <w:szCs w:val="28"/>
        </w:rPr>
        <w:t xml:space="preserve">что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силы спроса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предложения действуют свободно, </w:t>
      </w:r>
      <w:r w:rsidRPr="00FC30D2">
        <w:rPr>
          <w:rFonts w:ascii="Times New Roman" w:hAnsi="Times New Roman" w:cs="Times New Roman"/>
          <w:sz w:val="28"/>
          <w:szCs w:val="28"/>
        </w:rPr>
        <w:t xml:space="preserve">что не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существует прочного объединения торговцев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на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обеих сторонах, </w:t>
      </w:r>
      <w:r w:rsidRPr="00FC30D2">
        <w:rPr>
          <w:rFonts w:ascii="Times New Roman" w:hAnsi="Times New Roman" w:cs="Times New Roman"/>
          <w:sz w:val="28"/>
          <w:szCs w:val="28"/>
        </w:rPr>
        <w:t xml:space="preserve">что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каждый выступает самостоятельно </w:t>
      </w:r>
      <w:r w:rsidRPr="00FC30D2">
        <w:rPr>
          <w:rFonts w:ascii="Times New Roman" w:hAnsi="Times New Roman" w:cs="Times New Roman"/>
          <w:sz w:val="28"/>
          <w:szCs w:val="28"/>
        </w:rPr>
        <w:t xml:space="preserve">и что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широко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развертывается свободная конкуренция, </w:t>
      </w:r>
      <w:r w:rsidRPr="00FC30D2">
        <w:rPr>
          <w:rFonts w:ascii="Times New Roman" w:hAnsi="Times New Roman" w:cs="Times New Roman"/>
          <w:sz w:val="28"/>
          <w:szCs w:val="28"/>
        </w:rPr>
        <w:t xml:space="preserve">т. е. что 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покупатели  обычно  беспрепятственно 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конкурируют 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покупателями,  </w:t>
      </w:r>
      <w:r w:rsidRPr="00FC30D2">
        <w:rPr>
          <w:rFonts w:ascii="Times New Roman" w:hAnsi="Times New Roman" w:cs="Times New Roman"/>
          <w:sz w:val="28"/>
          <w:szCs w:val="28"/>
        </w:rPr>
        <w:t xml:space="preserve">а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продавцы столь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же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беспрепятственно конкурируют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продавцами. Однако Маршалл подчеркивает: </w:t>
      </w:r>
      <w:r w:rsidRPr="00FC30D2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каждый выступает </w:t>
      </w:r>
      <w:r w:rsidRPr="00FC30D2">
        <w:rPr>
          <w:rFonts w:ascii="Times New Roman" w:hAnsi="Times New Roman" w:cs="Times New Roman"/>
          <w:sz w:val="28"/>
          <w:szCs w:val="28"/>
        </w:rPr>
        <w:t xml:space="preserve">сам за себя,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предполагается, что </w:t>
      </w:r>
      <w:r w:rsidRPr="00FC30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осведомленность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деятельности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других обычно вполне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достаточна,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чтобы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он </w:t>
      </w:r>
      <w:r w:rsidRPr="00FC30D2">
        <w:rPr>
          <w:rFonts w:ascii="Times New Roman" w:hAnsi="Times New Roman" w:cs="Times New Roman"/>
          <w:sz w:val="28"/>
          <w:szCs w:val="28"/>
        </w:rPr>
        <w:t xml:space="preserve">не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стал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соглашаться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продать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меньшей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цене или покупать </w:t>
      </w:r>
      <w:r w:rsidRPr="00FC30D2">
        <w:rPr>
          <w:rFonts w:ascii="Times New Roman" w:hAnsi="Times New Roman" w:cs="Times New Roman"/>
          <w:sz w:val="28"/>
          <w:szCs w:val="28"/>
        </w:rPr>
        <w:t xml:space="preserve">по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 xml:space="preserve">большей, </w:t>
      </w:r>
      <w:r w:rsidRPr="00FC30D2">
        <w:rPr>
          <w:rFonts w:ascii="Times New Roman" w:hAnsi="Times New Roman" w:cs="Times New Roman"/>
          <w:spacing w:val="-4"/>
          <w:sz w:val="28"/>
          <w:szCs w:val="28"/>
        </w:rPr>
        <w:t xml:space="preserve">чем </w:t>
      </w:r>
      <w:r w:rsidRPr="00FC30D2">
        <w:rPr>
          <w:rFonts w:ascii="Times New Roman" w:hAnsi="Times New Roman" w:cs="Times New Roman"/>
          <w:spacing w:val="-3"/>
          <w:sz w:val="28"/>
          <w:szCs w:val="28"/>
        </w:rPr>
        <w:t xml:space="preserve">все </w:t>
      </w:r>
      <w:r w:rsidRPr="00FC30D2">
        <w:rPr>
          <w:rFonts w:ascii="Times New Roman" w:hAnsi="Times New Roman" w:cs="Times New Roman"/>
          <w:spacing w:val="-5"/>
          <w:sz w:val="28"/>
          <w:szCs w:val="28"/>
        </w:rPr>
        <w:t>остальные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2"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С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вободная конкуренция трактуется А. Маршаллом как способ организации, ведущий к оптимальному разделению труда и обеспечивающий эффективность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экономики.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2" w:right="-28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Исследуя возможные последствия свободной конкуренции, А. Маршалл тем самым обосновывает ее преимущества перед другими формами организации</w:t>
      </w:r>
      <w:r w:rsidRPr="00FC30D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экономики.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2" w:right="-28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Гл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авное преимущество конкуренции, по мнению А. Маршалла, заключается в формировании равновесия низких цен («нормальных цен», в его терминах). Если нет свободы конкуренции, подчеркивает исследователь, то низкие цены могут быть обеспечены только некими внеэкономическими методами – за счет обычая, например.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2" w:right="-28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Касаясь стремления цен в условиях свободной конкуренции к равновесию, А. Маршалл обосновывает обязательность существования равновесия на рынке, цены равновесия и преимущественную стабильность рыночного равновесия.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3" w:right="-284" w:firstLine="70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А.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Маршалл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выдвинул еще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одно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утверждение,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которое долгое время было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господствующим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экономической теории рынков.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Он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считал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монополию полной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противоположностью конкуренции.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существует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либо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одно,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другое.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если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свободная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конкуренция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это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оптимальное состояние экономики,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монополия как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антипод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является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такой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организацией,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которая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уменьшает общес</w:t>
      </w:r>
      <w:bookmarkStart w:id="0" w:name="_GoBack"/>
      <w:bookmarkEnd w:id="0"/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твенное благосостояние,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причем всегда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везде.</w:t>
      </w:r>
    </w:p>
    <w:p w:rsidR="00FC30D2" w:rsidRPr="00D87CEF" w:rsidRDefault="00FC30D2" w:rsidP="00D87CEF">
      <w:pPr>
        <w:widowControl w:val="0"/>
        <w:autoSpaceDE w:val="0"/>
        <w:autoSpaceDN w:val="0"/>
        <w:spacing w:after="0" w:line="240" w:lineRule="auto"/>
        <w:ind w:left="31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lastRenderedPageBreak/>
        <w:t xml:space="preserve">Представление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единственности, устойчивости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детерминированности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равновесия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условиях совершенной конкуренции нашло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отражение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общего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равновесия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Леона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Вальраса</w:t>
      </w:r>
      <w:hyperlink w:anchor="_bookmark7" w:history="1">
        <w:r w:rsidRPr="00FC30D2">
          <w:rPr>
            <w:rFonts w:ascii="Times New Roman" w:eastAsia="Times New Roman" w:hAnsi="Times New Roman" w:cs="Times New Roman"/>
            <w:spacing w:val="-3"/>
            <w:sz w:val="28"/>
            <w:szCs w:val="28"/>
            <w:vertAlign w:val="superscript"/>
            <w:lang w:eastAsia="ru-RU" w:bidi="ru-RU"/>
          </w:rPr>
          <w:t>2</w:t>
        </w:r>
      </w:hyperlink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Используя механизм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общего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равновесия,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основе 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предпосылок   конкурентного  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рынка 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Л.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Вальрас   выдвигает  </w:t>
      </w:r>
      <w:r w:rsidRPr="00FC30D2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процедуру</w:t>
      </w:r>
      <w:r w:rsidR="00D87C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«нащупывания», показывая,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что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относительные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цены,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сформированные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рынках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свободной конкуренции,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точности соответствуют решениям системы уравнений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неизвестными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равновесных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цен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объемов продаж.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Свободный рынок достигает этого результата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именно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потому,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что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свободен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есть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возможность изменения</w:t>
      </w:r>
      <w:r w:rsidRPr="00FC30D2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цен</w:t>
      </w:r>
      <w:r w:rsidRPr="00FC30D2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объемов</w:t>
      </w:r>
      <w:r w:rsidRPr="00FC30D2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продаж</w:t>
      </w:r>
      <w:r w:rsidRPr="00FC30D2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как</w:t>
      </w:r>
      <w:r w:rsidRPr="00FC30D2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следствие</w:t>
      </w:r>
      <w:r w:rsidRPr="00FC30D2">
        <w:rPr>
          <w:rFonts w:ascii="Times New Roman" w:eastAsia="Times New Roman" w:hAnsi="Times New Roman" w:cs="Times New Roman"/>
          <w:spacing w:val="31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проб</w:t>
      </w:r>
      <w:r w:rsidRPr="00FC30D2">
        <w:rPr>
          <w:rFonts w:ascii="Times New Roman" w:eastAsia="Times New Roman" w:hAnsi="Times New Roman" w:cs="Times New Roman"/>
          <w:spacing w:val="31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ошибок.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313" w:right="-284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На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ряду  с поведенческой  трактовкой   понятия   конкуренции   в ХIХ в.,  и особенно в ХХ в., получил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распространение структурный подход. Его истоки восходят к работам Дж.Робинсон, Э. Чемберлина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других крупнейших ученых, заложивших фундамент современной западной теории четырех типов рынков: совершенной  конкуренции,   монополистической   конкуренции,   олигополии и</w:t>
      </w:r>
      <w:r w:rsidRPr="00FC30D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монополии.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left="212" w:right="-284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Э.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Чемберлин доказал,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что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каждый конкурент, стремясь выделиться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рынке, прежде всего старается дифференцировать свой продукт,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что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влечет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за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собой создание субрынка,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котором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выступает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частичный монополист, регулирующий цену. Впервые монополия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конкуренция были рассмотрены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как  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антитезы,   было   введено   понятие    «монополистическая    конкуренция»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установлено,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термины,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него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входящие,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исключают друг друга.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Этот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ученый   обратил   внимание 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  то,  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  дифференциация   товара   приводит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ситуации,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когда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вместо единого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складывается сеть частично обособленных рынков. Основная идея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Чемберлина, положенная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основу его теории монополистической конкуренции,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возможность рассматривать современный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рынок с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дифференцированным продуктом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конкуренцию между монополистами, каждый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которых имеет рыночную власть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частью потребителей. Книга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Чемберлина «Теория монополистической конкуренции», вышедшая одновременно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книгой Дж. Робинсон «Теория несовершенной конкуренции»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1933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г., содержала революционную аргументацию.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предложен отход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предположений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однородности продукции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абсолютно эластичных кривых спроса.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При </w:t>
      </w:r>
      <w:r w:rsidRPr="00D87CEF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структурном </w:t>
      </w:r>
      <w:r w:rsidRPr="00D87CEF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подходе акцент </w:t>
      </w:r>
      <w:r w:rsidRPr="00D87CEF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смещается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D87CEF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самой борьбы </w:t>
      </w:r>
      <w:r w:rsidRPr="00D87CEF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  <w:lang w:eastAsia="ru-RU" w:bidi="ru-RU"/>
        </w:rPr>
        <w:t xml:space="preserve">компаний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друг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D87CEF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 xml:space="preserve">другом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на </w:t>
      </w:r>
      <w:r w:rsidRPr="00D87CEF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 w:bidi="ru-RU"/>
        </w:rPr>
        <w:t>анализ структуры рынка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,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тех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условий,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которые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господствуют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нем.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структурной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трактовке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конкуренции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центре внимания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оказывается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соперничество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фирм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установлении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цены,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выяснение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того,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кто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почему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победил,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установление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факта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принципиальной возможности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(или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невозможности) влияния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фирмы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общий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уровень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цен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рынке. Если такое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воздействие невозможно,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речь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идет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рынке совершенной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конкуренции,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противном случае</w:t>
      </w:r>
      <w:r w:rsidRPr="00FC30D2">
        <w:rPr>
          <w:rFonts w:ascii="Times New Roman" w:eastAsia="Times New Roman" w:hAnsi="Times New Roman" w:cs="Times New Roman"/>
          <w:spacing w:val="-44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одной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разновидностей конкуренции</w:t>
      </w:r>
      <w:r w:rsidRPr="00FC30D2">
        <w:rPr>
          <w:rFonts w:ascii="Times New Roman" w:eastAsia="Times New Roman" w:hAnsi="Times New Roman" w:cs="Times New Roman"/>
          <w:spacing w:val="-4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несовершенной.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структурная концепция конкуренции предполагает смещение акцента с самой борьбы организаций друг с другом на анализ структуры рынка, тех условий, которые на нем господствуют.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начале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XX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в.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взгляды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конкуренцию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роль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экономике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изменились.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lastRenderedPageBreak/>
        <w:t xml:space="preserve">Основным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объектом критики стала модель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совершенной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конкуренции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из-за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чрезмерного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внимания только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одному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ее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виду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ценовой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конкуренции,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из-за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невозможности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раскрыть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ее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сущность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помощью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динамичной конкурентной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борьбы,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также из-за 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игнорирования 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роли 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научно-технологических   инноваций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0D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воздействия</w:t>
      </w:r>
      <w:r w:rsidRPr="00FC30D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государства</w:t>
      </w:r>
      <w:r w:rsidRPr="00FC30D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</w:t>
      </w:r>
      <w:r w:rsidRPr="00FC30D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развитие</w:t>
      </w:r>
      <w:r w:rsidRPr="00FC30D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0D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поддержку</w:t>
      </w:r>
      <w:r w:rsidRPr="00FC30D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конкуренции.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Одним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из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первых экономистов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–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представителей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нового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функционального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подхода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является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Й.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Шумпетер,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который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качестве отличительного критерия конкурентного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рынка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выделяет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его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способность инициировать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новые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достижения научно-технического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прогресса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0D2" w:rsidRPr="00D87CEF" w:rsidRDefault="00FC30D2" w:rsidP="00FC30D2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Эволюция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теории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конкуренции привела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новому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пониманию</w:t>
      </w:r>
      <w:r w:rsidRPr="00FC30D2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современной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экономической системы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зрения содержания 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конкурентных  отношений.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данном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этапе развитие экономики характеризуется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изменением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отношений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между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экономическими агентами: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от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жесткой конкуренции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к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сочетанию кооперации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конкуренции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различных сферах.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Сформировалось новое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понимание</w:t>
      </w:r>
      <w:r w:rsidRPr="00D87CEF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конкуренции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точки</w:t>
      </w:r>
      <w:r w:rsidRPr="00D87CEF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зрения ценностно-сетевого подхода,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суть которого находит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отражение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D87CEF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двух основных</w:t>
      </w:r>
      <w:r w:rsidRPr="00D87CEF">
        <w:rPr>
          <w:rFonts w:ascii="Times New Roman" w:eastAsia="Times New Roman" w:hAnsi="Times New Roman" w:cs="Times New Roman"/>
          <w:spacing w:val="-36"/>
          <w:sz w:val="28"/>
          <w:szCs w:val="28"/>
          <w:highlight w:val="yellow"/>
          <w:lang w:eastAsia="ru-RU" w:bidi="ru-RU"/>
        </w:rPr>
        <w:t xml:space="preserve"> </w:t>
      </w:r>
      <w:r w:rsidRPr="00D87CE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аспектах:</w:t>
      </w:r>
    </w:p>
    <w:p w:rsidR="00FC30D2" w:rsidRPr="00D87CEF" w:rsidRDefault="00FC30D2" w:rsidP="00FC30D2">
      <w:pPr>
        <w:widowControl w:val="0"/>
        <w:numPr>
          <w:ilvl w:val="0"/>
          <w:numId w:val="2"/>
        </w:numPr>
        <w:tabs>
          <w:tab w:val="left" w:pos="1235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во-первых, конкуренция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это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соперничество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вхождению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наиболее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эффективные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надежные </w:t>
      </w:r>
      <w:r w:rsidRPr="00D87CEF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производственные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цепи создания</w:t>
      </w:r>
      <w:r w:rsidRPr="00D87CEF">
        <w:rPr>
          <w:rFonts w:ascii="Times New Roman" w:hAnsi="Times New Roman" w:cs="Times New Roman"/>
          <w:spacing w:val="-32"/>
          <w:sz w:val="28"/>
          <w:szCs w:val="28"/>
          <w:highlight w:val="yellow"/>
        </w:rPr>
        <w:t xml:space="preserve"> </w:t>
      </w:r>
      <w:r w:rsidRPr="00D87CEF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ценностей;</w:t>
      </w:r>
    </w:p>
    <w:p w:rsidR="00FC30D2" w:rsidRPr="00FC30D2" w:rsidRDefault="00FC30D2" w:rsidP="00FC30D2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CEF">
        <w:rPr>
          <w:rFonts w:ascii="Times New Roman" w:hAnsi="Times New Roman" w:cs="Times New Roman"/>
          <w:sz w:val="28"/>
          <w:szCs w:val="28"/>
          <w:highlight w:val="yellow"/>
        </w:rPr>
        <w:t>во-вторых, конкуренция – это борьба за место в цепи, так как от этого зависит размер доли получаемой</w:t>
      </w:r>
      <w:r w:rsidRPr="00D87CEF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 </w:t>
      </w:r>
      <w:r w:rsidRPr="00D87CEF">
        <w:rPr>
          <w:rFonts w:ascii="Times New Roman" w:hAnsi="Times New Roman" w:cs="Times New Roman"/>
          <w:sz w:val="28"/>
          <w:szCs w:val="28"/>
          <w:highlight w:val="yellow"/>
        </w:rPr>
        <w:t>прибыли</w:t>
      </w:r>
      <w:r w:rsidRPr="00FC30D2">
        <w:rPr>
          <w:rFonts w:ascii="Times New Roman" w:hAnsi="Times New Roman" w:cs="Times New Roman"/>
          <w:sz w:val="28"/>
          <w:szCs w:val="28"/>
        </w:rPr>
        <w:t>.</w:t>
      </w:r>
    </w:p>
    <w:p w:rsidR="00FC30D2" w:rsidRPr="00FC30D2" w:rsidRDefault="00FC30D2" w:rsidP="00FC30D2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Современный этап развития конкуренции, безусловно, связан с инновациями  (продуктовыми,   технологическими   и организационными).   Все  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условиях современной экономики привело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появлению логистической концепции бизнеса,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возникновению конкуренции «цепей»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конкуренции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внутри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самих </w:t>
      </w:r>
      <w:r w:rsidRPr="00FC30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сетевых производственных систем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создания</w:t>
      </w:r>
      <w:r w:rsidRPr="00FC30D2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ценностей.</w:t>
      </w:r>
    </w:p>
    <w:p w:rsidR="00FC30D2" w:rsidRDefault="00FC30D2" w:rsidP="00FC30D2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основе ценностно-сетевой концепции лежит тезис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 том, что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компании являются </w:t>
      </w:r>
      <w:r w:rsidRPr="00D87CEF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 w:bidi="ru-RU"/>
        </w:rPr>
        <w:t xml:space="preserve">скорее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потенциальными партнерами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создании конечного отраслевого продукта, </w:t>
      </w:r>
      <w:r w:rsidRPr="00D87CE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чем </w:t>
      </w:r>
      <w:r w:rsidRPr="00D87CE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>конкурентами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Конечный потребитель, приобретая товар, ставит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оценку не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только конечному продавцу,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и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всей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отраслевой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цепочке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от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начала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до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конца.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участники  отраслевой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цепи  </w:t>
      </w:r>
      <w:r w:rsidRPr="00FC30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участвуют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той  </w:t>
      </w:r>
      <w:r w:rsidRPr="00FC30D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или 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иной  мере 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потребительной стоимости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ценности, поэтому любое предприятие, включенное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цепь, несет ответственность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только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FC30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результаты деятельности </w:t>
      </w:r>
      <w:r w:rsidRPr="00FC30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пределах своей зоны работы.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Экономическая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природа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конкуренции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определяется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исходяиз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следующих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признаков</w:t>
      </w:r>
      <w:r>
        <w:rPr>
          <w:rFonts w:ascii="CharterITC" w:eastAsia="CharterITC" w:cs="CharterITC"/>
          <w:sz w:val="20"/>
          <w:szCs w:val="20"/>
        </w:rPr>
        <w:t>: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наилучшее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удовлетворение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потребностей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потребителей</w:t>
      </w:r>
      <w:r>
        <w:rPr>
          <w:rFonts w:ascii="CharterITC" w:eastAsia="CharterITC" w:cs="CharterITC"/>
          <w:sz w:val="20"/>
          <w:szCs w:val="20"/>
        </w:rPr>
        <w:t>;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соперничество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между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товаропроизводителями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за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покупателя</w:t>
      </w:r>
      <w:r>
        <w:rPr>
          <w:rFonts w:ascii="CharterITC" w:eastAsia="CharterITC" w:cs="CharterITC"/>
          <w:sz w:val="20"/>
          <w:szCs w:val="20"/>
        </w:rPr>
        <w:t>;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процесс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управления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субъектами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рынка</w:t>
      </w:r>
      <w:r>
        <w:rPr>
          <w:rFonts w:ascii="CharterITC" w:eastAsia="CharterITC" w:cs="CharterITC"/>
          <w:sz w:val="20"/>
          <w:szCs w:val="20"/>
        </w:rPr>
        <w:t>;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Symbol" w:eastAsia="CharterITC" w:hAnsi="Symbol" w:cs="Symbol"/>
          <w:sz w:val="20"/>
          <w:szCs w:val="20"/>
        </w:rPr>
        <w:t></w:t>
      </w:r>
      <w:r>
        <w:rPr>
          <w:rFonts w:ascii="CharterITC" w:eastAsia="CharterITC" w:cs="CharterITC" w:hint="eastAsia"/>
          <w:sz w:val="20"/>
          <w:szCs w:val="20"/>
        </w:rPr>
        <w:t>•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механизм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управления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рынком</w:t>
      </w:r>
      <w:r>
        <w:rPr>
          <w:rFonts w:ascii="CharterITC" w:eastAsia="CharterITC" w:cs="CharterITC"/>
          <w:sz w:val="20"/>
          <w:szCs w:val="20"/>
        </w:rPr>
        <w:t>.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cs="CharterITC" w:hint="eastAsia"/>
          <w:sz w:val="20"/>
          <w:szCs w:val="20"/>
        </w:rPr>
        <w:t>Природа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конкуренции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предопределяет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три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основных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подходак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определению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конкуренции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как</w:t>
      </w:r>
      <w:r>
        <w:rPr>
          <w:rFonts w:ascii="CharterITC" w:eastAsia="CharterITC" w:cs="CharterITC"/>
          <w:sz w:val="20"/>
          <w:szCs w:val="20"/>
        </w:rPr>
        <w:t xml:space="preserve"> </w:t>
      </w:r>
      <w:r w:rsidR="008478C3">
        <w:rPr>
          <w:rFonts w:ascii="CharterITC" w:eastAsia="CharterITC" w:cs="CharterITC" w:hint="eastAsia"/>
          <w:sz w:val="20"/>
          <w:szCs w:val="20"/>
        </w:rPr>
        <w:t>экономическо</w:t>
      </w:r>
      <w:r>
        <w:rPr>
          <w:rFonts w:ascii="CharterITC" w:eastAsia="CharterITC" w:cs="CharterITC" w:hint="eastAsia"/>
          <w:sz w:val="20"/>
          <w:szCs w:val="20"/>
        </w:rPr>
        <w:t>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категории</w:t>
      </w:r>
      <w:r>
        <w:rPr>
          <w:rFonts w:ascii="CharterITC" w:eastAsia="CharterITC" w:cs="CharterITC"/>
          <w:sz w:val="20"/>
          <w:szCs w:val="20"/>
        </w:rPr>
        <w:t>: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 w:rsidRPr="008478C3">
        <w:rPr>
          <w:rFonts w:ascii="CharterITC" w:eastAsia="CharterITC" w:cs="CharterITC"/>
          <w:color w:val="FF0000"/>
          <w:sz w:val="20"/>
          <w:szCs w:val="20"/>
        </w:rPr>
        <w:t xml:space="preserve">1. </w:t>
      </w:r>
      <w:r w:rsidRPr="008478C3">
        <w:rPr>
          <w:rFonts w:ascii="CharterITC" w:eastAsia="CharterITC" w:cs="CharterITC" w:hint="eastAsia"/>
          <w:color w:val="FF0000"/>
          <w:sz w:val="20"/>
          <w:szCs w:val="20"/>
        </w:rPr>
        <w:t>Конкуренция</w:t>
      </w:r>
      <w:r w:rsidRPr="008478C3">
        <w:rPr>
          <w:rFonts w:ascii="CharterITC" w:eastAsia="CharterITC" w:cs="CharterITC"/>
          <w:color w:val="FF0000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—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некое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действие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рынке</w:t>
      </w:r>
      <w:r>
        <w:rPr>
          <w:rFonts w:ascii="CharterITC" w:eastAsia="CharterITC" w:cs="CharterITC"/>
          <w:sz w:val="20"/>
          <w:szCs w:val="20"/>
        </w:rPr>
        <w:t xml:space="preserve">. </w:t>
      </w:r>
      <w:r>
        <w:rPr>
          <w:rFonts w:ascii="CharterITC" w:eastAsia="CharterITC" w:cs="CharterITC" w:hint="eastAsia"/>
          <w:sz w:val="20"/>
          <w:szCs w:val="20"/>
        </w:rPr>
        <w:t>Подход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основывается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понимании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конкуренции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как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соперничества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за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достижение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лучших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результатов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в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бизнесе</w:t>
      </w:r>
      <w:r>
        <w:rPr>
          <w:rFonts w:ascii="CharterITC" w:eastAsia="CharterITC" w:cs="CharterITC"/>
          <w:sz w:val="20"/>
          <w:szCs w:val="20"/>
        </w:rPr>
        <w:t>.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cs="CharterITC"/>
          <w:sz w:val="20"/>
          <w:szCs w:val="20"/>
        </w:rPr>
        <w:lastRenderedPageBreak/>
        <w:t xml:space="preserve">2. </w:t>
      </w:r>
      <w:r w:rsidRPr="008478C3">
        <w:rPr>
          <w:rFonts w:ascii="CharterITC" w:eastAsia="CharterITC" w:cs="CharterITC" w:hint="eastAsia"/>
          <w:color w:val="FF0000"/>
          <w:sz w:val="20"/>
          <w:szCs w:val="20"/>
        </w:rPr>
        <w:t>Конкуренц</w:t>
      </w:r>
      <w:r>
        <w:rPr>
          <w:rFonts w:ascii="CharterITC" w:eastAsia="CharterITC" w:cs="CharterITC" w:hint="eastAsia"/>
          <w:sz w:val="20"/>
          <w:szCs w:val="20"/>
        </w:rPr>
        <w:t>ия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—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элемент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рыночного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механизма</w:t>
      </w:r>
      <w:r>
        <w:rPr>
          <w:rFonts w:ascii="CharterITC" w:eastAsia="CharterITC" w:cs="CharterITC"/>
          <w:sz w:val="20"/>
          <w:szCs w:val="20"/>
        </w:rPr>
        <w:t xml:space="preserve">, </w:t>
      </w:r>
      <w:r>
        <w:rPr>
          <w:rFonts w:ascii="CharterITC" w:eastAsia="CharterITC" w:cs="CharterITC" w:hint="eastAsia"/>
          <w:sz w:val="20"/>
          <w:szCs w:val="20"/>
        </w:rPr>
        <w:t>позволяющий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обеспечить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согласование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спроса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предложения</w:t>
      </w:r>
      <w:r>
        <w:rPr>
          <w:rFonts w:ascii="CharterITC" w:eastAsia="CharterITC" w:cs="CharterITC"/>
          <w:sz w:val="20"/>
          <w:szCs w:val="20"/>
        </w:rPr>
        <w:t xml:space="preserve">. </w:t>
      </w:r>
      <w:r>
        <w:rPr>
          <w:rFonts w:ascii="CharterITC" w:eastAsia="CharterITC" w:cs="CharterITC" w:hint="eastAsia"/>
          <w:sz w:val="20"/>
          <w:szCs w:val="20"/>
        </w:rPr>
        <w:t>Подход</w:t>
      </w:r>
      <w:r w:rsidR="0033283B">
        <w:rPr>
          <w:rFonts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характерен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для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классической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экономической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теории</w:t>
      </w:r>
      <w:r>
        <w:rPr>
          <w:rFonts w:ascii="CharterITC" w:eastAsia="CharterITC" w:cs="CharterITC"/>
          <w:sz w:val="20"/>
          <w:szCs w:val="20"/>
        </w:rPr>
        <w:t>.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cs="CharterITC"/>
          <w:sz w:val="20"/>
          <w:szCs w:val="20"/>
        </w:rPr>
        <w:t xml:space="preserve">3. </w:t>
      </w:r>
      <w:r w:rsidRPr="008478C3">
        <w:rPr>
          <w:rFonts w:ascii="CharterITC" w:eastAsia="CharterITC" w:cs="CharterITC" w:hint="eastAsia"/>
          <w:color w:val="FF0000"/>
          <w:sz w:val="20"/>
          <w:szCs w:val="20"/>
        </w:rPr>
        <w:t>Конкуренци</w:t>
      </w:r>
      <w:r>
        <w:rPr>
          <w:rFonts w:ascii="CharterITC" w:eastAsia="CharterITC" w:cs="CharterITC" w:hint="eastAsia"/>
          <w:sz w:val="20"/>
          <w:szCs w:val="20"/>
        </w:rPr>
        <w:t>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—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один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из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основных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оценочных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экономи</w:t>
      </w:r>
      <w:r>
        <w:rPr>
          <w:rFonts w:ascii="CharterITC" w:eastAsia="CharterITC" w:cs="CharterITC"/>
          <w:sz w:val="20"/>
          <w:szCs w:val="20"/>
        </w:rPr>
        <w:t>-</w:t>
      </w:r>
    </w:p>
    <w:p w:rsidR="003B50E3" w:rsidRDefault="003B50E3" w:rsidP="003B50E3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cs="CharterITC" w:hint="eastAsia"/>
          <w:sz w:val="20"/>
          <w:szCs w:val="20"/>
        </w:rPr>
        <w:t>ческих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критериев</w:t>
      </w:r>
      <w:r>
        <w:rPr>
          <w:rFonts w:ascii="CharterITC" w:eastAsia="CharterITC" w:cs="CharterITC"/>
          <w:sz w:val="20"/>
          <w:szCs w:val="20"/>
        </w:rPr>
        <w:t xml:space="preserve">. </w:t>
      </w:r>
      <w:r>
        <w:rPr>
          <w:rFonts w:ascii="CharterITC" w:eastAsia="CharterITC" w:cs="CharterITC" w:hint="eastAsia"/>
          <w:sz w:val="20"/>
          <w:szCs w:val="20"/>
        </w:rPr>
        <w:t>Подход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базируется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понимании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конкуренции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как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неотъемлемого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свойства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рынка</w:t>
      </w:r>
      <w:r>
        <w:rPr>
          <w:rFonts w:ascii="CharterITC" w:eastAsia="CharterITC" w:cs="CharterITC"/>
          <w:sz w:val="20"/>
          <w:szCs w:val="20"/>
        </w:rPr>
        <w:t>.</w:t>
      </w:r>
    </w:p>
    <w:p w:rsidR="00833832" w:rsidRDefault="003B50E3" w:rsidP="00833832">
      <w:pPr>
        <w:autoSpaceDE w:val="0"/>
        <w:autoSpaceDN w:val="0"/>
        <w:adjustRightInd w:val="0"/>
        <w:spacing w:after="0" w:line="240" w:lineRule="auto"/>
        <w:rPr>
          <w:rFonts w:ascii="CharterITC-BoldItalic" w:hAnsi="CharterITC-BoldItalic" w:cs="CharterITC-BoldItalic"/>
          <w:b/>
          <w:bCs/>
          <w:i/>
          <w:iCs/>
          <w:sz w:val="16"/>
          <w:szCs w:val="16"/>
        </w:rPr>
      </w:pPr>
      <w:r>
        <w:rPr>
          <w:rFonts w:ascii="CharterITC" w:eastAsia="CharterITC" w:cs="CharterITC" w:hint="eastAsia"/>
          <w:sz w:val="20"/>
          <w:szCs w:val="20"/>
        </w:rPr>
        <w:t>Учитывая</w:t>
      </w:r>
      <w:r>
        <w:rPr>
          <w:rFonts w:ascii="CharterITC" w:eastAsia="CharterITC" w:cs="CharterITC"/>
          <w:sz w:val="20"/>
          <w:szCs w:val="20"/>
        </w:rPr>
        <w:t xml:space="preserve"> </w:t>
      </w:r>
      <w:r>
        <w:rPr>
          <w:rFonts w:ascii="CharterITC" w:eastAsia="CharterITC" w:cs="CharterITC" w:hint="eastAsia"/>
          <w:sz w:val="20"/>
          <w:szCs w:val="20"/>
        </w:rPr>
        <w:t>изложенное</w:t>
      </w:r>
      <w:r>
        <w:rPr>
          <w:rFonts w:ascii="CharterITC" w:eastAsia="CharterITC" w:cs="CharterITC"/>
          <w:sz w:val="20"/>
          <w:szCs w:val="20"/>
        </w:rPr>
        <w:t xml:space="preserve">,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можно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определить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-Bold" w:eastAsia="CharterITC-Bold" w:cs="CharterITC-Bold" w:hint="eastAsia"/>
          <w:b/>
          <w:bCs/>
          <w:sz w:val="20"/>
          <w:szCs w:val="20"/>
          <w:highlight w:val="yellow"/>
        </w:rPr>
        <w:t>конкуренцию</w:t>
      </w:r>
      <w:r w:rsidRPr="008478C3">
        <w:rPr>
          <w:rFonts w:ascii="CharterITC-Bold" w:eastAsia="CharterITC-Bold" w:cs="CharterITC-Bold"/>
          <w:b/>
          <w:bCs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как</w:t>
      </w:r>
      <w:r w:rsidR="0033283B" w:rsidRPr="008478C3">
        <w:rPr>
          <w:rFonts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динамичный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и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непрерывно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возобновляемый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процесс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соперничества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,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осуществляемый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между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экономически</w:t>
      </w:r>
      <w:r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Pr="008478C3">
        <w:rPr>
          <w:rFonts w:ascii="CharterITC" w:eastAsia="CharterITC" w:cs="CharterITC" w:hint="eastAsia"/>
          <w:sz w:val="20"/>
          <w:szCs w:val="20"/>
          <w:highlight w:val="yellow"/>
        </w:rPr>
        <w:t>независимыми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субъектами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рынка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(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товаропроизводителями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,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продавцами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>)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за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достижение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лучших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результатов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развития</w:t>
      </w:r>
      <w:r w:rsidR="0033283B" w:rsidRPr="008478C3">
        <w:rPr>
          <w:rFonts w:ascii="CharterITC" w:eastAsia="CharterITC" w:cs="CharterITC"/>
          <w:sz w:val="20"/>
          <w:szCs w:val="20"/>
          <w:highlight w:val="yellow"/>
        </w:rPr>
        <w:t xml:space="preserve"> </w:t>
      </w:r>
      <w:r w:rsidR="0033283B" w:rsidRPr="008478C3">
        <w:rPr>
          <w:rFonts w:ascii="CharterITC" w:eastAsia="CharterITC" w:cs="CharterITC" w:hint="eastAsia"/>
          <w:sz w:val="20"/>
          <w:szCs w:val="20"/>
          <w:highlight w:val="yellow"/>
        </w:rPr>
        <w:t>бизнеса</w:t>
      </w:r>
      <w:r w:rsidR="0033283B">
        <w:rPr>
          <w:rFonts w:ascii="CharterITC" w:eastAsia="CharterITC" w:cs="CharterITC"/>
          <w:sz w:val="20"/>
          <w:szCs w:val="20"/>
        </w:rPr>
        <w:t>.</w:t>
      </w:r>
      <w:r w:rsidR="0033283B">
        <w:rPr>
          <w:rFonts w:ascii="CharterITC" w:eastAsia="CharterITC" w:cs="CharterITC" w:hint="eastAsia"/>
          <w:sz w:val="20"/>
          <w:szCs w:val="20"/>
        </w:rPr>
        <w:t>На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рынке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товаров</w:t>
      </w:r>
      <w:r w:rsidR="0033283B">
        <w:rPr>
          <w:rFonts w:ascii="CharterITC" w:eastAsia="CharterITC" w:cs="CharterITC"/>
          <w:sz w:val="20"/>
          <w:szCs w:val="20"/>
        </w:rPr>
        <w:t xml:space="preserve"> (</w:t>
      </w:r>
      <w:r w:rsidR="0033283B">
        <w:rPr>
          <w:rFonts w:ascii="CharterITC" w:eastAsia="CharterITC" w:cs="CharterITC" w:hint="eastAsia"/>
          <w:sz w:val="20"/>
          <w:szCs w:val="20"/>
        </w:rPr>
        <w:t>услуг</w:t>
      </w:r>
      <w:r w:rsidR="0033283B">
        <w:rPr>
          <w:rFonts w:ascii="CharterITC" w:eastAsia="CharterITC" w:cs="CharterITC"/>
          <w:sz w:val="20"/>
          <w:szCs w:val="20"/>
        </w:rPr>
        <w:t xml:space="preserve">) </w:t>
      </w:r>
      <w:r w:rsidR="0033283B">
        <w:rPr>
          <w:rFonts w:ascii="CharterITC-Italic" w:eastAsia="CharterITC" w:hAnsi="CharterITC-Italic" w:cs="CharterITC-Italic"/>
          <w:i/>
          <w:iCs/>
          <w:sz w:val="20"/>
          <w:szCs w:val="20"/>
        </w:rPr>
        <w:t xml:space="preserve">предметом </w:t>
      </w:r>
      <w:r w:rsidR="0033283B">
        <w:rPr>
          <w:rFonts w:ascii="CharterITC" w:eastAsia="CharterITC" w:cs="CharterITC" w:hint="eastAsia"/>
          <w:sz w:val="20"/>
          <w:szCs w:val="20"/>
        </w:rPr>
        <w:t>конкуренции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является</w:t>
      </w:r>
      <w:r w:rsidR="0033283B">
        <w:rPr>
          <w:rFonts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товар</w:t>
      </w:r>
      <w:r w:rsidR="0033283B">
        <w:rPr>
          <w:rFonts w:ascii="CharterITC" w:eastAsia="CharterITC" w:cs="CharterITC"/>
          <w:sz w:val="20"/>
          <w:szCs w:val="20"/>
        </w:rPr>
        <w:t xml:space="preserve"> (</w:t>
      </w:r>
      <w:r w:rsidR="0033283B">
        <w:rPr>
          <w:rFonts w:ascii="CharterITC" w:eastAsia="CharterITC" w:cs="CharterITC" w:hint="eastAsia"/>
          <w:sz w:val="20"/>
          <w:szCs w:val="20"/>
        </w:rPr>
        <w:t>услуга</w:t>
      </w:r>
      <w:r w:rsidR="0033283B">
        <w:rPr>
          <w:rFonts w:ascii="CharterITC" w:eastAsia="CharterITC" w:cs="CharterITC"/>
          <w:sz w:val="20"/>
          <w:szCs w:val="20"/>
        </w:rPr>
        <w:t xml:space="preserve">), </w:t>
      </w:r>
      <w:r w:rsidR="0033283B">
        <w:rPr>
          <w:rFonts w:ascii="CharterITC-Italic" w:eastAsia="CharterITC" w:hAnsi="CharterITC-Italic" w:cs="CharterITC-Italic"/>
          <w:i/>
          <w:iCs/>
          <w:sz w:val="20"/>
          <w:szCs w:val="20"/>
        </w:rPr>
        <w:t xml:space="preserve">субъектом </w:t>
      </w:r>
      <w:r w:rsidR="0033283B">
        <w:rPr>
          <w:rFonts w:ascii="CharterITC" w:eastAsia="CharterITC" w:cs="CharterITC" w:hint="eastAsia"/>
          <w:sz w:val="20"/>
          <w:szCs w:val="20"/>
        </w:rPr>
        <w:t>конкуренции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выступают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товаропроизводитель</w:t>
      </w:r>
      <w:r w:rsidR="0033283B">
        <w:rPr>
          <w:rFonts w:ascii="CharterITC" w:eastAsia="CharterITC" w:cs="CharterITC"/>
          <w:sz w:val="20"/>
          <w:szCs w:val="20"/>
        </w:rPr>
        <w:t xml:space="preserve">, </w:t>
      </w:r>
      <w:r w:rsidR="0033283B">
        <w:rPr>
          <w:rFonts w:ascii="CharterITC" w:eastAsia="CharterITC" w:cs="CharterITC" w:hint="eastAsia"/>
          <w:sz w:val="20"/>
          <w:szCs w:val="20"/>
        </w:rPr>
        <w:t>продавец</w:t>
      </w:r>
      <w:r w:rsidR="0033283B">
        <w:rPr>
          <w:rFonts w:ascii="CharterITC" w:eastAsia="CharterITC" w:cs="CharterITC"/>
          <w:sz w:val="20"/>
          <w:szCs w:val="20"/>
        </w:rPr>
        <w:t xml:space="preserve">, </w:t>
      </w:r>
      <w:r w:rsidR="0033283B">
        <w:rPr>
          <w:rFonts w:ascii="CharterITC-Italic" w:eastAsia="CharterITC" w:hAnsi="CharterITC-Italic" w:cs="CharterITC-Italic"/>
          <w:i/>
          <w:iCs/>
          <w:sz w:val="20"/>
          <w:szCs w:val="20"/>
        </w:rPr>
        <w:t xml:space="preserve">объектом </w:t>
      </w:r>
      <w:r w:rsidR="0033283B">
        <w:rPr>
          <w:rFonts w:ascii="CharterITC" w:eastAsia="CharterITC" w:cs="CharterITC" w:hint="eastAsia"/>
          <w:sz w:val="20"/>
          <w:szCs w:val="20"/>
        </w:rPr>
        <w:t>конкуренции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—</w:t>
      </w:r>
      <w:r w:rsidR="0033283B">
        <w:rPr>
          <w:rFonts w:ascii="CharterITC"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 w:hint="eastAsia"/>
          <w:sz w:val="20"/>
          <w:szCs w:val="20"/>
        </w:rPr>
        <w:t>потребитель</w:t>
      </w:r>
      <w:r w:rsidR="0033283B">
        <w:rPr>
          <w:rFonts w:eastAsia="CharterITC" w:cs="CharterITC"/>
          <w:sz w:val="20"/>
          <w:szCs w:val="20"/>
        </w:rPr>
        <w:t xml:space="preserve"> </w:t>
      </w:r>
      <w:r w:rsidR="0033283B">
        <w:rPr>
          <w:rFonts w:ascii="CharterITC" w:eastAsia="CharterITC" w:cs="CharterITC"/>
          <w:sz w:val="20"/>
          <w:szCs w:val="20"/>
        </w:rPr>
        <w:t>(</w:t>
      </w:r>
      <w:r w:rsidR="0033283B">
        <w:rPr>
          <w:rFonts w:ascii="CharterITC" w:eastAsia="CharterITC" w:cs="CharterITC" w:hint="eastAsia"/>
          <w:sz w:val="20"/>
          <w:szCs w:val="20"/>
        </w:rPr>
        <w:t>покупатель</w:t>
      </w:r>
      <w:r w:rsidR="0033283B">
        <w:rPr>
          <w:rFonts w:ascii="CharterITC" w:eastAsia="CharterITC" w:cs="CharterITC"/>
          <w:sz w:val="20"/>
          <w:szCs w:val="20"/>
        </w:rPr>
        <w:t xml:space="preserve">, </w:t>
      </w:r>
      <w:r w:rsidR="0033283B">
        <w:rPr>
          <w:rFonts w:ascii="CharterITC" w:eastAsia="CharterITC" w:cs="CharterITC" w:hint="eastAsia"/>
          <w:sz w:val="20"/>
          <w:szCs w:val="20"/>
        </w:rPr>
        <w:t>заказчик</w:t>
      </w:r>
      <w:r w:rsidR="0033283B">
        <w:rPr>
          <w:rFonts w:ascii="CharterITC" w:eastAsia="CharterITC" w:cs="CharterITC"/>
          <w:sz w:val="20"/>
          <w:szCs w:val="20"/>
        </w:rPr>
        <w:t>).</w:t>
      </w:r>
      <w:r w:rsidR="00833832" w:rsidRPr="00833832">
        <w:rPr>
          <w:rFonts w:ascii="CharterITC-BoldItalic" w:hAnsi="CharterITC-BoldItalic" w:cs="CharterITC-BoldItalic"/>
          <w:b/>
          <w:bCs/>
          <w:i/>
          <w:iCs/>
          <w:sz w:val="16"/>
          <w:szCs w:val="16"/>
        </w:rPr>
        <w:t xml:space="preserve"> </w:t>
      </w:r>
      <w:r w:rsidR="00833832">
        <w:rPr>
          <w:rFonts w:ascii="CharterITC-BoldItalic" w:hAnsi="CharterITC-BoldItalic" w:cs="CharterITC-BoldItalic"/>
          <w:b/>
          <w:bCs/>
          <w:i/>
          <w:iCs/>
          <w:sz w:val="16"/>
          <w:szCs w:val="16"/>
        </w:rPr>
        <w:t>Движущие силы конкуренции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Растущая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глобализация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рынка</w:t>
      </w:r>
      <w:r>
        <w:rPr>
          <w:rFonts w:ascii="CharterITC" w:eastAsia="CharterITC" w:hAnsi="CharterITC-BoldItalic" w:cs="CharterITC"/>
          <w:sz w:val="16"/>
          <w:szCs w:val="16"/>
        </w:rPr>
        <w:t>,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отрасли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Внедрение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передовых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технологий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производства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и</w:t>
      </w:r>
      <w:r>
        <w:rPr>
          <w:rFonts w:ascii="CharterITC" w:eastAsia="CharterITC" w:hAnsi="CharterITC-BoldItalic" w:cs="CharterITC"/>
          <w:sz w:val="16"/>
          <w:szCs w:val="16"/>
        </w:rPr>
        <w:t xml:space="preserve"> know-how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Изменение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тенденций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развития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целевого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рынка</w:t>
      </w:r>
      <w:r>
        <w:rPr>
          <w:rFonts w:ascii="CharterITC" w:eastAsia="CharterITC" w:hAnsi="CharterITC-BoldItalic" w:cs="CharterITC"/>
          <w:sz w:val="16"/>
          <w:szCs w:val="16"/>
        </w:rPr>
        <w:t xml:space="preserve"> (</w:t>
      </w:r>
      <w:r>
        <w:rPr>
          <w:rFonts w:ascii="CharterITC" w:eastAsia="CharterITC" w:hAnsi="CharterITC-BoldItalic" w:cs="CharterITC" w:hint="eastAsia"/>
          <w:sz w:val="16"/>
          <w:szCs w:val="16"/>
        </w:rPr>
        <w:t>отрасли</w:t>
      </w:r>
      <w:r>
        <w:rPr>
          <w:rFonts w:ascii="CharterITC" w:eastAsia="CharterITC" w:hAnsi="CharterITC-BoldItalic" w:cs="CharterITC"/>
          <w:sz w:val="16"/>
          <w:szCs w:val="16"/>
        </w:rPr>
        <w:t>)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Вывод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на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рынок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новых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товаров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услуг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Инновационный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маркетинг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Рост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стандартизации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товаров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Изменения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в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законодательстве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государственной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политике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Реализация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концепции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стратегического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партнерства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Реструктуризация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компаний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Снижение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неопределенности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рисков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для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бизнеса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Сеть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Интернет</w:t>
      </w:r>
      <w:r>
        <w:rPr>
          <w:rFonts w:ascii="CharterITC" w:eastAsia="CharterITC" w:hAnsi="CharterITC-BoldItalic" w:cs="CharterITC"/>
          <w:sz w:val="16"/>
          <w:szCs w:val="16"/>
        </w:rPr>
        <w:t xml:space="preserve">, </w:t>
      </w:r>
      <w:r>
        <w:rPr>
          <w:rFonts w:ascii="CharterITC" w:eastAsia="CharterITC" w:hAnsi="CharterITC-BoldItalic" w:cs="CharterITC" w:hint="eastAsia"/>
          <w:sz w:val="16"/>
          <w:szCs w:val="16"/>
        </w:rPr>
        <w:t>электронная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коммерция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Реинжиниринг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бизнес</w:t>
      </w:r>
      <w:r>
        <w:rPr>
          <w:rFonts w:ascii="CharterITC" w:eastAsia="CharterITC" w:hAnsi="CharterITC-BoldItalic" w:cs="CharterITC"/>
          <w:sz w:val="16"/>
          <w:szCs w:val="16"/>
        </w:rPr>
        <w:t>-</w:t>
      </w:r>
      <w:r>
        <w:rPr>
          <w:rFonts w:ascii="CharterITC" w:eastAsia="CharterITC" w:hAnsi="CharterITC-BoldItalic" w:cs="CharterITC" w:hint="eastAsia"/>
          <w:sz w:val="16"/>
          <w:szCs w:val="16"/>
        </w:rPr>
        <w:t>процессов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Внедрение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передовых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информационных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технологий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Изменение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контингента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покупателей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Приход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на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рынок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крупных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компаний</w:t>
      </w:r>
    </w:p>
    <w:p w:rsidR="00833832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hAnsi="CharterITC-BoldItalic" w:cs="CharterITC"/>
          <w:sz w:val="16"/>
          <w:szCs w:val="16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Рост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персонализации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товаров</w:t>
      </w:r>
    </w:p>
    <w:p w:rsidR="003B50E3" w:rsidRDefault="00833832" w:rsidP="00833832">
      <w:pPr>
        <w:autoSpaceDE w:val="0"/>
        <w:autoSpaceDN w:val="0"/>
        <w:adjustRightInd w:val="0"/>
        <w:spacing w:after="0" w:line="240" w:lineRule="auto"/>
        <w:rPr>
          <w:rFonts w:ascii="CharterITC" w:eastAsia="CharterITC" w:cs="CharterITC"/>
          <w:sz w:val="20"/>
          <w:szCs w:val="20"/>
        </w:rPr>
      </w:pPr>
      <w:r>
        <w:rPr>
          <w:rFonts w:ascii="CharterITC" w:eastAsia="CharterITC" w:hAnsi="CharterITC-BoldItalic" w:cs="CharterITC" w:hint="eastAsia"/>
          <w:sz w:val="16"/>
          <w:szCs w:val="16"/>
        </w:rPr>
        <w:t>Изменения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в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затратах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и</w:t>
      </w:r>
      <w:r>
        <w:rPr>
          <w:rFonts w:ascii="CharterITC" w:eastAsia="CharterITC" w:hAnsi="CharterITC-BoldItalic" w:cs="CharterITC"/>
          <w:sz w:val="16"/>
          <w:szCs w:val="16"/>
        </w:rPr>
        <w:t xml:space="preserve"> </w:t>
      </w:r>
      <w:r>
        <w:rPr>
          <w:rFonts w:ascii="CharterITC" w:eastAsia="CharterITC" w:hAnsi="CharterITC-BoldItalic" w:cs="CharterITC" w:hint="eastAsia"/>
          <w:sz w:val="16"/>
          <w:szCs w:val="16"/>
        </w:rPr>
        <w:t>прибыли</w:t>
      </w:r>
    </w:p>
    <w:p w:rsidR="0033283B" w:rsidRPr="00FC30D2" w:rsidRDefault="0033283B" w:rsidP="003B50E3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FC30D2" w:rsidRPr="00FC30D2" w:rsidRDefault="00FC30D2" w:rsidP="00FC30D2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C30D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B4736" w:rsidRPr="00FC30D2" w:rsidRDefault="00EB4736" w:rsidP="00FC30D2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p w:rsidR="00FC30D2" w:rsidRPr="00FC30D2" w:rsidRDefault="00FC30D2" w:rsidP="00FC30D2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FC30D2" w:rsidRPr="00FC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IT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ITC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harterITC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harterITC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5A0"/>
    <w:multiLevelType w:val="multilevel"/>
    <w:tmpl w:val="17AECCB6"/>
    <w:lvl w:ilvl="0">
      <w:start w:val="1"/>
      <w:numFmt w:val="decimal"/>
      <w:lvlText w:val="%1"/>
      <w:lvlJc w:val="left"/>
      <w:pPr>
        <w:ind w:left="1075" w:hanging="6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5" w:hanging="621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●"/>
      <w:lvlJc w:val="left"/>
      <w:pPr>
        <w:ind w:left="31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1" w:hanging="2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2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2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2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4" w:hanging="2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216"/>
      </w:pPr>
      <w:rPr>
        <w:rFonts w:hint="default"/>
        <w:lang w:val="ru-RU" w:eastAsia="ru-RU" w:bidi="ru-RU"/>
      </w:rPr>
    </w:lvl>
  </w:abstractNum>
  <w:abstractNum w:abstractNumId="1">
    <w:nsid w:val="50EA5E81"/>
    <w:multiLevelType w:val="hybridMultilevel"/>
    <w:tmpl w:val="68D05308"/>
    <w:lvl w:ilvl="0" w:tplc="CE5C1DA2">
      <w:numFmt w:val="bullet"/>
      <w:lvlText w:val="●"/>
      <w:lvlJc w:val="left"/>
      <w:pPr>
        <w:ind w:left="313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5042440">
      <w:numFmt w:val="bullet"/>
      <w:lvlText w:val="•"/>
      <w:lvlJc w:val="left"/>
      <w:pPr>
        <w:ind w:left="1314" w:hanging="214"/>
      </w:pPr>
      <w:rPr>
        <w:rFonts w:hint="default"/>
        <w:lang w:val="ru-RU" w:eastAsia="ru-RU" w:bidi="ru-RU"/>
      </w:rPr>
    </w:lvl>
    <w:lvl w:ilvl="2" w:tplc="0FD47CEA">
      <w:numFmt w:val="bullet"/>
      <w:lvlText w:val="•"/>
      <w:lvlJc w:val="left"/>
      <w:pPr>
        <w:ind w:left="2309" w:hanging="214"/>
      </w:pPr>
      <w:rPr>
        <w:rFonts w:hint="default"/>
        <w:lang w:val="ru-RU" w:eastAsia="ru-RU" w:bidi="ru-RU"/>
      </w:rPr>
    </w:lvl>
    <w:lvl w:ilvl="3" w:tplc="9312B098">
      <w:numFmt w:val="bullet"/>
      <w:lvlText w:val="•"/>
      <w:lvlJc w:val="left"/>
      <w:pPr>
        <w:ind w:left="3303" w:hanging="214"/>
      </w:pPr>
      <w:rPr>
        <w:rFonts w:hint="default"/>
        <w:lang w:val="ru-RU" w:eastAsia="ru-RU" w:bidi="ru-RU"/>
      </w:rPr>
    </w:lvl>
    <w:lvl w:ilvl="4" w:tplc="36D4AAF0">
      <w:numFmt w:val="bullet"/>
      <w:lvlText w:val="•"/>
      <w:lvlJc w:val="left"/>
      <w:pPr>
        <w:ind w:left="4298" w:hanging="214"/>
      </w:pPr>
      <w:rPr>
        <w:rFonts w:hint="default"/>
        <w:lang w:val="ru-RU" w:eastAsia="ru-RU" w:bidi="ru-RU"/>
      </w:rPr>
    </w:lvl>
    <w:lvl w:ilvl="5" w:tplc="54B4FD38">
      <w:numFmt w:val="bullet"/>
      <w:lvlText w:val="•"/>
      <w:lvlJc w:val="left"/>
      <w:pPr>
        <w:ind w:left="5293" w:hanging="214"/>
      </w:pPr>
      <w:rPr>
        <w:rFonts w:hint="default"/>
        <w:lang w:val="ru-RU" w:eastAsia="ru-RU" w:bidi="ru-RU"/>
      </w:rPr>
    </w:lvl>
    <w:lvl w:ilvl="6" w:tplc="FB0C8446">
      <w:numFmt w:val="bullet"/>
      <w:lvlText w:val="•"/>
      <w:lvlJc w:val="left"/>
      <w:pPr>
        <w:ind w:left="6287" w:hanging="214"/>
      </w:pPr>
      <w:rPr>
        <w:rFonts w:hint="default"/>
        <w:lang w:val="ru-RU" w:eastAsia="ru-RU" w:bidi="ru-RU"/>
      </w:rPr>
    </w:lvl>
    <w:lvl w:ilvl="7" w:tplc="F350E256">
      <w:numFmt w:val="bullet"/>
      <w:lvlText w:val="•"/>
      <w:lvlJc w:val="left"/>
      <w:pPr>
        <w:ind w:left="7282" w:hanging="214"/>
      </w:pPr>
      <w:rPr>
        <w:rFonts w:hint="default"/>
        <w:lang w:val="ru-RU" w:eastAsia="ru-RU" w:bidi="ru-RU"/>
      </w:rPr>
    </w:lvl>
    <w:lvl w:ilvl="8" w:tplc="AF38A2D4">
      <w:numFmt w:val="bullet"/>
      <w:lvlText w:val="•"/>
      <w:lvlJc w:val="left"/>
      <w:pPr>
        <w:ind w:left="8277" w:hanging="21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8D"/>
    <w:rsid w:val="0033283B"/>
    <w:rsid w:val="003B50E3"/>
    <w:rsid w:val="007322C6"/>
    <w:rsid w:val="00833832"/>
    <w:rsid w:val="008478C3"/>
    <w:rsid w:val="00B1788D"/>
    <w:rsid w:val="00D87CEF"/>
    <w:rsid w:val="00EB4736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81A1-C8B6-4925-A799-41E777A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Admin</cp:lastModifiedBy>
  <cp:revision>12</cp:revision>
  <dcterms:created xsi:type="dcterms:W3CDTF">2020-11-22T10:04:00Z</dcterms:created>
  <dcterms:modified xsi:type="dcterms:W3CDTF">2023-09-11T07:10:00Z</dcterms:modified>
</cp:coreProperties>
</file>